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FD6BAC" w:rsidRPr="006F5E77">
        <w:rPr>
          <w:rFonts w:asciiTheme="minorHAnsi" w:hAnsiTheme="minorHAnsi" w:cstheme="minorHAnsi"/>
          <w:b/>
          <w:bCs/>
        </w:rPr>
        <w:t>6.05.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Powstańców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Słębowie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Śniadeckiego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e-podręczników bądź e-zasobów/e-materiałów dopuszczonych do </w:t>
      </w:r>
      <w:r w:rsidR="00706D80" w:rsidRPr="006F5E77">
        <w:rPr>
          <w:rFonts w:asciiTheme="minorHAnsi" w:hAnsiTheme="minorHAnsi" w:cstheme="minorHAnsi"/>
        </w:rPr>
        <w:t>użytku</w:t>
      </w:r>
      <w:r w:rsidRPr="006F5E77">
        <w:rPr>
          <w:rFonts w:asciiTheme="minorHAnsi" w:hAnsiTheme="minorHAnsi" w:cstheme="minorHAnsi"/>
        </w:rPr>
        <w:t xml:space="preserve">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szkoleń dostosowanych do potrzeb nauczycieli i specyfiki nauczanego przedmiotu oraz wymianę dobrych praktyk pomiędzy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Udział w zajęciach przewidzianych w ramach szkoleń jest obowiązkowy i potwierdzany każdorazowo listą obecności.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kosztów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który składa się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materiały dydaktyczno - szkoleniowe przygotowane przez wykładowcę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ukończenia szkoleń i otrzymania certyfikatu jest udział uczestnika w co najmniej 50% zajęć oraz pozytywny wynik testu kompetencyjnego zaplanowanego na koniec szkoleń.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nieobecności (50%) uczestnik projektu jest zobowiązany do uzyskania zgody Kierownika Projektu na kontynuację uczestnictwa szkoleń w projekcie poprzez odbycie zajęć z inną grupą szkoleniową, jeśli pozwala na to organizacja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Uczestnik Projektu może zostać skreślony z listy uczestników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samodzielnej rezygnacji na pisemny wniosek przedłożony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objętej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zobowiązany jest do zwrotu na rachunek projektu poniesionych kosztów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Skreślenia Uczestnika Projektu dokonuje Kierownik Projektu po uzgodnieniu zastępstwa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Dyrektorem Szkoły, jeśli pozwala na to organizacja zajęć.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kształtowania i rozwijania kompetencji cyfrowych uczniów z uwzględnieniem bezpieczeństwa w cyberprzestrzeni i wynikających zagrożeń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języków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postaw i umiejętności w zakresie kreatywności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WYRÓWNAWCZYCH - zajęcia dydaktyczno-wyrównawcze służące wyrównywaniu dysproporcji edukacyjnych w trakcie procesu kształcenia dla uczniów mających trudności w spełnianiu wymagań edukacyjnych, wynikających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kołka zainteresowań i zajęcia rozwijające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Powstańców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Śniadeckiego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ect.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procesie rekrutacji do zajęć pozalekcyjnych z zakresu nauki języków obcych zachęcani będą uczniowie (chłopcy), zaś z zakresu przedmiotów ścisłych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KRYTERIA MERYTORYCZNE – weryfikujące pierwszeństwo kwalifikowania kandydata do danej formy wsparcia zaplanowanej w ramach projektu</w:t>
      </w:r>
      <w:r w:rsidR="000E05AA">
        <w:rPr>
          <w:rFonts w:asciiTheme="minorHAnsi" w:hAnsiTheme="minorHAnsi" w:cstheme="minorHAnsi"/>
        </w:rPr>
        <w:t>.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4671F9">
        <w:rPr>
          <w:rFonts w:asciiTheme="minorHAnsi" w:hAnsiTheme="minorHAnsi" w:cstheme="minorHAnsi"/>
          <w:b/>
          <w:color w:val="000000" w:themeColor="text1"/>
        </w:rPr>
        <w:t>6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</w:t>
      </w:r>
      <w:r w:rsidR="00DC2CBE">
        <w:rPr>
          <w:rFonts w:asciiTheme="minorHAnsi" w:hAnsiTheme="minorHAnsi" w:cstheme="minorHAnsi"/>
          <w:b/>
          <w:color w:val="000000" w:themeColor="text1"/>
        </w:rPr>
        <w:t>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13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.09.2019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3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0E05AA">
        <w:rPr>
          <w:rFonts w:asciiTheme="minorHAnsi" w:hAnsiTheme="minorHAnsi" w:cstheme="minorHAnsi"/>
        </w:rPr>
        <w:t>Kierownika projektu/</w:t>
      </w:r>
      <w:bookmarkStart w:id="4" w:name="_GoBack"/>
      <w:bookmarkEnd w:id="4"/>
      <w:r w:rsidR="00160E24">
        <w:rPr>
          <w:rFonts w:asciiTheme="minorHAnsi" w:hAnsiTheme="minorHAnsi" w:cstheme="minorHAnsi"/>
        </w:rPr>
        <w:t>Koordynatora administracyjnego</w:t>
      </w:r>
      <w:r w:rsidRPr="006F5E77">
        <w:rPr>
          <w:rFonts w:asciiTheme="minorHAnsi" w:hAnsiTheme="minorHAnsi" w:cstheme="minorHAnsi"/>
        </w:rPr>
        <w:t xml:space="preserve">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57" w:rsidRDefault="00B66B57" w:rsidP="00A551D1">
      <w:pPr>
        <w:spacing w:after="0" w:line="240" w:lineRule="auto"/>
      </w:pPr>
      <w:r>
        <w:separator/>
      </w:r>
    </w:p>
  </w:endnote>
  <w:endnote w:type="continuationSeparator" w:id="0">
    <w:p w:rsidR="00B66B57" w:rsidRDefault="00B66B5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57" w:rsidRDefault="00B66B57" w:rsidP="00A551D1">
      <w:pPr>
        <w:spacing w:after="0" w:line="240" w:lineRule="auto"/>
      </w:pPr>
      <w:r>
        <w:separator/>
      </w:r>
    </w:p>
  </w:footnote>
  <w:footnote w:type="continuationSeparator" w:id="0">
    <w:p w:rsidR="00B66B57" w:rsidRDefault="00B66B57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B66B57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05AA"/>
    <w:rsid w:val="000E19C6"/>
    <w:rsid w:val="000E2726"/>
    <w:rsid w:val="000E2C99"/>
    <w:rsid w:val="000E547C"/>
    <w:rsid w:val="000E56DF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06D80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66B57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0B0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34E91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45F6-C3D1-400B-89FC-140488A8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4294606217</TotalTime>
  <Pages>9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9</cp:revision>
  <cp:lastPrinted>2018-11-02T15:38:00Z</cp:lastPrinted>
  <dcterms:created xsi:type="dcterms:W3CDTF">2019-08-20T13:32:00Z</dcterms:created>
  <dcterms:modified xsi:type="dcterms:W3CDTF">2019-05-06T21:20:00Z</dcterms:modified>
</cp:coreProperties>
</file>